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Arial" w:hAnsi="Arial"/>
          <w:b/>
          <w:sz w:val="42"/>
        </w:rPr>
        <w:t>Projeto para Orientação no Fab Lab</w:t>
      </w:r>
    </w:p>
    <w:p>
      <w:pPr>
        <w:jc w:val="center"/>
      </w:pPr>
      <w:r>
        <w:rPr>
          <w:rFonts w:ascii="Arial" w:hAnsi="Arial"/>
          <w:sz w:val="28"/>
        </w:rPr>
        <w:t>Reforma de gabinetes de caixas acústicas passivas Philips FB 300</w:t>
      </w:r>
    </w:p>
    <w:p>
      <w:pPr>
        <w:jc w:val="center"/>
      </w:pPr>
      <w:r>
        <w:rPr>
          <w:i/>
          <w:sz w:val="23"/>
        </w:rPr>
        <w:t>Escopo: marcenaria e acabamento externo, sem parte elétrica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5040"/>
        <w:gridCol w:w="5040"/>
      </w:tblGrid>
      <w:tr>
        <w:tc>
          <w:tcPr>
            <w:tcW w:type="dxa" w:w="504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331720" cy="310896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aixa_1_frent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3108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i/>
                <w:sz w:val="16"/>
              </w:rPr>
              <w:t>Caixa 1 - frente</w:t>
            </w:r>
          </w:p>
        </w:tc>
        <w:tc>
          <w:tcPr>
            <w:tcW w:type="dxa" w:w="504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331720" cy="310896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aixa_2_frent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3108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i/>
                <w:sz w:val="16"/>
              </w:rPr>
              <w:t>Caixa 2 - frente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040"/>
        <w:gridCol w:w="5040"/>
      </w:tblGrid>
      <w:tr>
        <w:tc>
          <w:tcPr>
            <w:tcW w:type="dxa" w:w="5040"/>
            <w:shd w:fill="EFEFEF"/>
            <w:vAlign w:val="center"/>
          </w:tcPr>
          <w:p>
            <w:r/>
            <w:r>
              <w:rPr>
                <w:rFonts w:ascii="Arial" w:hAnsi="Arial"/>
                <w:b/>
                <w:sz w:val="18"/>
              </w:rPr>
              <w:t>Proponente</w:t>
            </w:r>
          </w:p>
        </w:tc>
        <w:tc>
          <w:tcPr>
            <w:tcW w:type="dxa" w:w="5040"/>
            <w:vAlign w:val="center"/>
          </w:tcPr>
          <w:p>
            <w:r/>
            <w:r>
              <w:rPr>
                <w:rFonts w:ascii="Arial" w:hAnsi="Arial"/>
                <w:b w:val="0"/>
                <w:sz w:val="18"/>
              </w:rPr>
              <w:t>Caio Proença</w:t>
            </w:r>
          </w:p>
        </w:tc>
      </w:tr>
      <w:tr>
        <w:tc>
          <w:tcPr>
            <w:tcW w:type="dxa" w:w="5040"/>
            <w:shd w:fill="EFEFEF"/>
            <w:vAlign w:val="center"/>
          </w:tcPr>
          <w:p>
            <w:r/>
            <w:r>
              <w:rPr>
                <w:rFonts w:ascii="Arial" w:hAnsi="Arial"/>
                <w:b/>
                <w:sz w:val="18"/>
              </w:rPr>
              <w:t>Finalidade</w:t>
            </w:r>
          </w:p>
        </w:tc>
        <w:tc>
          <w:tcPr>
            <w:tcW w:type="dxa" w:w="5040"/>
            <w:vAlign w:val="center"/>
          </w:tcPr>
          <w:p>
            <w:r/>
            <w:r>
              <w:rPr>
                <w:rFonts w:ascii="Arial" w:hAnsi="Arial"/>
                <w:b w:val="0"/>
                <w:sz w:val="18"/>
              </w:rPr>
              <w:t>Uso pessoal do proprietário. Não se trata de revenda, doação, cessão patrimonial ou encomenda institucional.</w:t>
            </w:r>
          </w:p>
        </w:tc>
      </w:tr>
      <w:tr>
        <w:tc>
          <w:tcPr>
            <w:tcW w:type="dxa" w:w="5040"/>
            <w:shd w:fill="EFEFEF"/>
            <w:vAlign w:val="center"/>
          </w:tcPr>
          <w:p>
            <w:r/>
            <w:r>
              <w:rPr>
                <w:rFonts w:ascii="Arial" w:hAnsi="Arial"/>
                <w:b/>
                <w:sz w:val="18"/>
              </w:rPr>
              <w:t>Local de referência</w:t>
            </w:r>
          </w:p>
        </w:tc>
        <w:tc>
          <w:tcPr>
            <w:tcW w:type="dxa" w:w="5040"/>
            <w:vAlign w:val="center"/>
          </w:tcPr>
          <w:p>
            <w:r/>
            <w:r>
              <w:rPr>
                <w:rFonts w:ascii="Arial" w:hAnsi="Arial"/>
                <w:b w:val="0"/>
                <w:sz w:val="18"/>
              </w:rPr>
              <w:t>Projeto a ser apresentado ao Fab Lab Livre SP para orientação e eventual execução de etapas de marcenaria/acabamento, conforme regras, agenda e disponibilidade da unidade escolhida.</w:t>
            </w:r>
          </w:p>
        </w:tc>
      </w:tr>
      <w:tr>
        <w:tc>
          <w:tcPr>
            <w:tcW w:type="dxa" w:w="5040"/>
            <w:shd w:fill="EFEFEF"/>
            <w:vAlign w:val="center"/>
          </w:tcPr>
          <w:p>
            <w:r/>
            <w:r>
              <w:rPr>
                <w:rFonts w:ascii="Arial" w:hAnsi="Arial"/>
                <w:b/>
                <w:sz w:val="18"/>
              </w:rPr>
              <w:t>Equipamento</w:t>
            </w:r>
          </w:p>
        </w:tc>
        <w:tc>
          <w:tcPr>
            <w:tcW w:type="dxa" w:w="5040"/>
            <w:vAlign w:val="center"/>
          </w:tcPr>
          <w:p>
            <w:r/>
            <w:r>
              <w:rPr>
                <w:rFonts w:ascii="Arial" w:hAnsi="Arial"/>
                <w:b w:val="0"/>
                <w:sz w:val="18"/>
              </w:rPr>
              <w:t>Duas caixas acústicas passivas Philips FB 300, em funcionamento, dependentes de receiver/amplificador externo.</w:t>
            </w:r>
          </w:p>
        </w:tc>
      </w:tr>
      <w:tr>
        <w:tc>
          <w:tcPr>
            <w:tcW w:type="dxa" w:w="5040"/>
            <w:shd w:fill="EFEFEF"/>
            <w:vAlign w:val="center"/>
          </w:tcPr>
          <w:p>
            <w:r/>
            <w:r>
              <w:rPr>
                <w:rFonts w:ascii="Arial" w:hAnsi="Arial"/>
                <w:b/>
                <w:sz w:val="18"/>
              </w:rPr>
              <w:t>Escopo</w:t>
            </w:r>
          </w:p>
        </w:tc>
        <w:tc>
          <w:tcPr>
            <w:tcW w:type="dxa" w:w="5040"/>
            <w:vAlign w:val="center"/>
          </w:tcPr>
          <w:p>
            <w:r/>
            <w:r>
              <w:rPr>
                <w:rFonts w:ascii="Arial" w:hAnsi="Arial"/>
                <w:b w:val="0"/>
                <w:sz w:val="18"/>
              </w:rPr>
              <w:t>Reforma exclusiva dos gabinetes: recuperação de madeira/chapa, recomposição de quinas e bordas, reforço estrutural, preparação de superfície e acabamento externo.</w:t>
            </w:r>
          </w:p>
        </w:tc>
      </w:tr>
      <w:tr>
        <w:tc>
          <w:tcPr>
            <w:tcW w:type="dxa" w:w="5040"/>
            <w:shd w:fill="EFEFEF"/>
            <w:vAlign w:val="center"/>
          </w:tcPr>
          <w:p>
            <w:r/>
            <w:r>
              <w:rPr>
                <w:rFonts w:ascii="Arial" w:hAnsi="Arial"/>
                <w:b/>
                <w:sz w:val="18"/>
              </w:rPr>
              <w:t>Fora do escopo</w:t>
            </w:r>
          </w:p>
        </w:tc>
        <w:tc>
          <w:tcPr>
            <w:tcW w:type="dxa" w:w="5040"/>
            <w:vAlign w:val="center"/>
          </w:tcPr>
          <w:p>
            <w:r/>
            <w:r>
              <w:rPr>
                <w:rFonts w:ascii="Arial" w:hAnsi="Arial"/>
                <w:b w:val="0"/>
                <w:sz w:val="18"/>
              </w:rPr>
              <w:t>Qualquer intervenção elétrica, eletrônica, em cabos, crossover, woofer, tweeter, bornes ou receiver.</w:t>
            </w:r>
          </w:p>
        </w:tc>
      </w:tr>
    </w:tbl>
    <w:p/>
    <w:p>
      <w:pPr>
        <w:pStyle w:val="Heading1"/>
      </w:pPr>
      <w:r>
        <w:t>1. Apresentação</w:t>
      </w:r>
    </w:p>
    <w:p>
      <w:pPr>
        <w:spacing w:after="120"/>
        <w:jc w:val="both"/>
      </w:pPr>
      <w:r>
        <w:t>Este documento apresenta um projeto de reforma dos gabinetes de duas caixas acústicas passivas Philips FB 300, pertencentes a Caio Proença, para uso pessoal com receiver externo. As caixas estão em funcionamento, e a intervenção proposta é restrita à recuperação física dos gabinetes, sem alteração elétrica, eletrônica ou sonora.</w:t>
      </w:r>
    </w:p>
    <w:p>
      <w:pPr>
        <w:spacing w:after="120"/>
        <w:jc w:val="both"/>
      </w:pPr>
      <w:r>
        <w:t>A ideia é levar o projeto ao Fab Lab Livre SP como proposta de orientação e desenvolvimento de etapas de marcenaria, acabamento e recuperação material. O documento não solicita intervenção em componentes de áudio; seu foco é organizar o problema, registrar o estado das peças e orientar uma reforma viável dentro de uma lógica maker, de aprendizado prático, reuso e prolongamento da vida útil de objetos.</w:t>
      </w:r>
    </w:p>
    <w:p>
      <w:pPr>
        <w:pStyle w:val="Heading1"/>
      </w:pPr>
      <w:r>
        <w:t>2. Relação com o Fab Lab</w:t>
      </w:r>
    </w:p>
    <w:p>
      <w:pPr>
        <w:spacing w:after="120"/>
        <w:jc w:val="both"/>
      </w:pPr>
      <w:r>
        <w:t>O Fab Lab Livre SP é uma rede pública de laboratórios de fabricação digital e prototipagem rápida, com acesso a ferramentas como impressoras 3D, cortadora a laser, fresadora CNC, computadores com software CAD, equipamentos de eletrônica e robótica, além de ferramentas de marcenaria e mecânica. A rede também oferece cursos e orientação para realização de projetos, mediante agendamento e disponibilidade das unidades.</w:t>
      </w:r>
    </w:p>
    <w:p>
      <w:pPr>
        <w:spacing w:after="120"/>
        <w:jc w:val="both"/>
      </w:pPr>
      <w:r>
        <w:t>Nesse contexto, o presente projeto se enquadra como uma proposta de recuperação material de objeto existente: duas caixas de som antigas, ainda funcionais, cujos gabinetes apresentam desgaste, riscos, bordas danificadas e perda de material. A proposta combina diagnóstico, planejamento, reparo de madeira/chapa, acabamento e documentação do processo.</w:t>
      </w:r>
    </w:p>
    <w:p>
      <w:pPr>
        <w:pStyle w:val="Heading1"/>
      </w:pPr>
      <w:r>
        <w:t>3. Objetivo geral</w:t>
      </w:r>
    </w:p>
    <w:p>
      <w:pPr>
        <w:spacing w:after="120"/>
        <w:jc w:val="both"/>
      </w:pPr>
      <w:r>
        <w:t>Recuperar a estabilidade estrutural, a durabilidade e a apresentação visual dos gabinetes das duas caixas Philips FB 300, preservando sua frente original e mantendo intactos os componentes sonoros.</w:t>
      </w:r>
    </w:p>
    <w:p>
      <w:pPr>
        <w:pStyle w:val="Heading1"/>
      </w:pPr>
      <w:r>
        <w:t>4. Objetivos específicos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Recuperar a quina traseira e as bordas mais danificadas da Caixa 1.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Corrigir riscos, lascas e desgastes superficiais da Caixa 2.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Uniformizar visualmente o par, sem descaracterizar completamente o desenho original das caixas.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Preservar a tela acústica frontal e o logo Philips das duas caixas.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Evitar qualquer intervenção nos alto-falantes, crossover, fios, bornes ou receiver.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Aplicar acabamento externo discreto e resistente, adequado ao uso doméstico.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Registrar o processo com fotografias antes/depois e lista simples de materiais utilizados.</w:t>
      </w:r>
    </w:p>
    <w:p>
      <w:pPr>
        <w:pStyle w:val="Heading1"/>
      </w:pPr>
      <w:r>
        <w:t>5. Diagnóstico preliminar</w:t>
      </w:r>
    </w:p>
    <w:p>
      <w:pPr>
        <w:spacing w:after="120"/>
        <w:jc w:val="both"/>
      </w:pPr>
      <w:r>
        <w:t>O diagnóstico abaixo foi elaborado a partir das fotografias das duas caixas. Como elas estão funcionando, a prioridade da reforma é proteger os componentes sonoros durante qualquer etapa de lixamento, colagem, preenchimento, pintura ou manuseio.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520"/>
        <w:gridCol w:w="2520"/>
        <w:gridCol w:w="2520"/>
        <w:gridCol w:w="2520"/>
      </w:tblGrid>
      <w:tr>
        <w:tc>
          <w:tcPr>
            <w:tcW w:type="dxa" w:w="2520"/>
            <w:shd w:fill="DDEBF7"/>
            <w:vAlign w:val="center"/>
          </w:tcPr>
          <w:p>
            <w:r/>
            <w:r>
              <w:rPr>
                <w:rFonts w:ascii="Arial" w:hAnsi="Arial"/>
                <w:b/>
                <w:sz w:val="16"/>
              </w:rPr>
              <w:t>Item</w:t>
            </w:r>
          </w:p>
        </w:tc>
        <w:tc>
          <w:tcPr>
            <w:tcW w:type="dxa" w:w="2520"/>
            <w:shd w:fill="DDEBF7"/>
            <w:vAlign w:val="center"/>
          </w:tcPr>
          <w:p>
            <w:r/>
            <w:r>
              <w:rPr>
                <w:rFonts w:ascii="Arial" w:hAnsi="Arial"/>
                <w:b/>
                <w:sz w:val="16"/>
              </w:rPr>
              <w:t>Caixa 1</w:t>
            </w:r>
          </w:p>
        </w:tc>
        <w:tc>
          <w:tcPr>
            <w:tcW w:type="dxa" w:w="2520"/>
            <w:shd w:fill="DDEBF7"/>
            <w:vAlign w:val="center"/>
          </w:tcPr>
          <w:p>
            <w:r/>
            <w:r>
              <w:rPr>
                <w:rFonts w:ascii="Arial" w:hAnsi="Arial"/>
                <w:b/>
                <w:sz w:val="16"/>
              </w:rPr>
              <w:t>Caixa 2</w:t>
            </w:r>
          </w:p>
        </w:tc>
        <w:tc>
          <w:tcPr>
            <w:tcW w:type="dxa" w:w="2520"/>
            <w:shd w:fill="DDEBF7"/>
            <w:vAlign w:val="center"/>
          </w:tcPr>
          <w:p>
            <w:r/>
            <w:r>
              <w:rPr>
                <w:rFonts w:ascii="Arial" w:hAnsi="Arial"/>
                <w:b/>
                <w:sz w:val="16"/>
              </w:rPr>
              <w:t>Recomendação</w:t>
            </w:r>
          </w:p>
        </w:tc>
      </w:tr>
      <w:tr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/>
                <w:sz w:val="15"/>
              </w:rPr>
              <w:t>Estrutura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Dano significativo em quina traseira/lateral; possível abertura de junção entre painéis.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Estrutura aparentemente íntegra, com desgaste superficial.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Intervenção estrutural na Caixa 1 e preventiva na Caixa 2.</w:t>
            </w:r>
          </w:p>
        </w:tc>
      </w:tr>
      <w:tr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/>
                <w:sz w:val="15"/>
              </w:rPr>
              <w:t>Bordas e base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Bordas quebradas, lascadas e com perda de material.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Bordas gastas e riscadas, sem perda grave aparente.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Recompor, selar e proteger bases e quinas.</w:t>
            </w:r>
          </w:p>
        </w:tc>
      </w:tr>
      <w:tr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/>
                <w:sz w:val="15"/>
              </w:rPr>
              <w:t>Laterais e traseira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Riscos, descascados, furos e desgaste mais intenso.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Riscos e marcas de uso moderadas.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Lixar, nivelar e aplicar acabamento uniforme.</w:t>
            </w:r>
          </w:p>
        </w:tc>
      </w:tr>
      <w:tr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/>
                <w:sz w:val="15"/>
              </w:rPr>
              <w:t>Frente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Tela e logo preservados.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Tela e logo preservados.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Preservar frente original, sem pintura sobre a tela.</w:t>
            </w:r>
          </w:p>
        </w:tc>
      </w:tr>
      <w:tr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/>
                <w:sz w:val="15"/>
              </w:rPr>
              <w:t>Intervenção principal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Estrutural + estética.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Estética + preventiva.</w:t>
            </w:r>
          </w:p>
        </w:tc>
        <w:tc>
          <w:tcPr>
            <w:tcW w:type="dxa" w:w="2520"/>
            <w:vAlign w:val="center"/>
          </w:tcPr>
          <w:p>
            <w:r/>
            <w:r>
              <w:rPr>
                <w:rFonts w:ascii="Arial" w:hAnsi="Arial"/>
                <w:b w:val="0"/>
                <w:sz w:val="15"/>
              </w:rPr>
              <w:t>Tratar o par como conjunto, mas com intensidade diferente por caixa.</w:t>
            </w:r>
          </w:p>
        </w:tc>
      </w:tr>
    </w:tbl>
    <w:p/>
    <w:p>
      <w:pPr>
        <w:pStyle w:val="Heading1"/>
      </w:pPr>
      <w:r>
        <w:t>6. Escopo da reforma de gabinete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Proteção da frente, tela acústica, logo Philips e conexões existentes antes do início da marcenaria.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Limpeza externa inicial e remoção de poeira, cola antiga solta, lascas instáveis e resíduos superficiais.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Colagem e prensagem de partes abertas ou com folga, especialmente na Caixa 1.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Reforço interno pontual da quina traseira danificada da Caixa 1, com sarrafo, cantoneira de madeira ou solução equivalente, desde que não interfira na acústica interna.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Recomposição de quinas, bordas e partes faltantes com enxerto de madeira/MDF/compensado e/ou massa para madeira.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Regularização da base e selagem de áreas expostas para reduzir novo desgaste.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Lixamento controlado das faces externas a serem acabadas.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Aplicação de seladora/fundo preparador e acabamento preto fosco ou acetinado nas laterais, topo, traseira e base.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Instalação opcional de pés de borracha para proteger a base e reduzir contato direto com o piso.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Limpeza final e registro fotográfico do resultado.</w:t>
      </w:r>
    </w:p>
    <w:p>
      <w:pPr>
        <w:pStyle w:val="Heading1"/>
      </w:pPr>
      <w:r>
        <w:t>7. Fora do escopo</w:t>
      </w:r>
    </w:p>
    <w:p>
      <w:pPr>
        <w:spacing w:after="120"/>
        <w:jc w:val="both"/>
      </w:pPr>
      <w:r>
        <w:t>A reforma não inclui e não deve incluir: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troca, solda, extensão ou reorganização de fios;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instalação de bornes ou conectores;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abertura para revisão elétrica ou eletrônica;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intervenção em crossover, woofer, tweeter ou demais componentes sonoros;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alteração interna que modifique volume acústico, dutos, vedação original ou resposta sonora;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teste técnico de potência, impedância ou compatibilidade com receiver;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qualquer reparo no receiver/amplificador externo.</w:t>
      </w:r>
    </w:p>
    <w:p>
      <w:pPr>
        <w:spacing w:after="120"/>
        <w:jc w:val="both"/>
      </w:pPr>
      <w:r>
        <w:t>Caso algum componente precise ser temporariamente protegido ou afastado durante a marcenaria, isso deve ocorrer apenas para evitar dano por poeira, cola ou tinta, sem modificação elétrica ou sonora.</w:t>
      </w:r>
    </w:p>
    <w:p>
      <w:pPr>
        <w:pStyle w:val="Heading1"/>
      </w:pPr>
      <w:r>
        <w:t>8. Diretriz estética recomendada</w:t>
      </w:r>
    </w:p>
    <w:p>
      <w:pPr>
        <w:spacing w:after="120"/>
        <w:jc w:val="both"/>
      </w:pPr>
      <w:r>
        <w:t>A solução recomendada é preservar integralmente a frente original das caixas e aplicar acabamento preto discreto nas demais faces. Essa abordagem conserva a identidade Philips, evita uma restauração cara e pouco necessária, e cria unidade visual entre duas caixas que apresentam níveis diferentes de desgaste.</w:t>
      </w:r>
    </w:p>
    <w:p>
      <w:pPr>
        <w:spacing w:after="120"/>
        <w:jc w:val="both"/>
      </w:pPr>
      <w:r>
        <w:t>O acabamento mais indicado é preto acetinado. Ele tende a disfarçar melhor pequenas imperfeições do que o brilho e é visualmente mais limpo do que um fosco muito marcado. A proposta não busca restauração colecionável, aparência de produto novo ou preparação para revenda, mas uma recuperação honesta, bonita e funcional para uso doméstico.</w:t>
      </w:r>
    </w:p>
    <w:p>
      <w:pPr>
        <w:pStyle w:val="Heading1"/>
      </w:pPr>
      <w:r>
        <w:t>9. Metodologia de execução</w:t>
      </w:r>
    </w:p>
    <w:p>
      <w:pPr>
        <w:spacing w:after="80"/>
      </w:pPr>
      <w:r>
        <w:rPr>
          <w:b/>
        </w:rPr>
        <w:t xml:space="preserve">Etapa 1 - Registro e preparação: </w:t>
      </w:r>
      <w:r>
        <w:t>Fotografar as caixas antes da intervenção, identificar danos, proteger frente, tela, logo, fios e conectores existentes.</w:t>
      </w:r>
    </w:p>
    <w:p>
      <w:pPr>
        <w:spacing w:after="80"/>
      </w:pPr>
      <w:r>
        <w:rPr>
          <w:b/>
        </w:rPr>
        <w:t xml:space="preserve">Etapa 2 - Estabilização da Caixa 1: </w:t>
      </w:r>
      <w:r>
        <w:t>Limpar áreas soltas, colar partes abertas, prensar junções e reforçar internamente a quina traseira danificada quando viável.</w:t>
      </w:r>
    </w:p>
    <w:p>
      <w:pPr>
        <w:spacing w:after="80"/>
      </w:pPr>
      <w:r>
        <w:rPr>
          <w:b/>
        </w:rPr>
        <w:t xml:space="preserve">Etapa 3 - Recomposição de falhas: </w:t>
      </w:r>
      <w:r>
        <w:t>Recompor material perdido nas quinas, bordas e base com enxerto e/ou massa para madeira, respeitando o formato original do gabinete.</w:t>
      </w:r>
    </w:p>
    <w:p>
      <w:pPr>
        <w:spacing w:after="80"/>
      </w:pPr>
      <w:r>
        <w:rPr>
          <w:b/>
        </w:rPr>
        <w:t xml:space="preserve">Etapa 4 - Correção da Caixa 2: </w:t>
      </w:r>
      <w:r>
        <w:t>Lixar levemente, corrigir riscos, selar bordas expostas e preparar para acabamento igual ao da Caixa 1.</w:t>
      </w:r>
    </w:p>
    <w:p>
      <w:pPr>
        <w:spacing w:after="80"/>
      </w:pPr>
      <w:r>
        <w:rPr>
          <w:b/>
        </w:rPr>
        <w:t xml:space="preserve">Etapa 5 - Preparação de superfície: </w:t>
      </w:r>
      <w:r>
        <w:t>Lixar superfícies externas, limpar resíduos, aplicar seladora ou fundo preparador compatível.</w:t>
      </w:r>
    </w:p>
    <w:p>
      <w:pPr>
        <w:spacing w:after="80"/>
      </w:pPr>
      <w:r>
        <w:rPr>
          <w:b/>
        </w:rPr>
        <w:t xml:space="preserve">Etapa 6 - Acabamento: </w:t>
      </w:r>
      <w:r>
        <w:t>Aplicar tinta preta fosca ou acetinada nas laterais, topo, fundo e base, sem pintar tela acústica nem logo Philips.</w:t>
      </w:r>
    </w:p>
    <w:p>
      <w:pPr>
        <w:spacing w:after="80"/>
      </w:pPr>
      <w:r>
        <w:rPr>
          <w:b/>
        </w:rPr>
        <w:t xml:space="preserve">Etapa 7 - Finalização: </w:t>
      </w:r>
      <w:r>
        <w:t>Instalar pés de borracha, remover proteções, limpar superfícies, fotografar o resultado e verificar visualmente a estabilidade dos gabinetes.</w:t>
      </w:r>
    </w:p>
    <w:p>
      <w:pPr>
        <w:pStyle w:val="Heading1"/>
      </w:pPr>
      <w:r>
        <w:t>10. Materiais previstos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cola para madeira;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sargentos ou grampos de pressão;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sarrafos finos ou cantoneiras internas de madeira;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enxertos de madeira, MDF ou compensado, se necessários;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massa para madeira;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lixas de diferentes gramaturas;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seladora ou fundo preparador;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tinta preta fosca ou acetinada;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fita crepe, papel e plástico para proteção;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pincel, rolo ou outro aplicador compatível;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pés de borracha, se aprovados no projeto.</w:t>
      </w:r>
    </w:p>
    <w:p>
      <w:pPr>
        <w:pStyle w:val="Heading1"/>
      </w:pPr>
      <w:r>
        <w:t>11. Critérios de cuidado durante a execução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Não pintar, encharcar ou raspar a tela acústica frontal.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Não apoiar peso sobre os falantes.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Não usar lixadeira perto da tela sem isolamento adequado.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Não aplicar excesso de massa a ponto de deformar as linhas originais da caixa.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Não fechar frestas internas de modo improvisado que possa gerar vibração ou interferir na acústica.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Não ligar as caixas durante execução, secagem de cola, lixamento ou pintura.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Não mexer nos fios ou componentes internos, pois isso está fora do escopo.</w:t>
      </w:r>
    </w:p>
    <w:p>
      <w:pPr>
        <w:pStyle w:val="Heading1"/>
      </w:pPr>
      <w:r>
        <w:t>12. Resultado esperado</w:t>
      </w:r>
    </w:p>
    <w:p>
      <w:pPr>
        <w:spacing w:after="120"/>
        <w:jc w:val="both"/>
      </w:pPr>
      <w:r>
        <w:t>Ao final, espera-se obter duas caixas visualmente uniformes, com a Caixa 1 estruturalmente estabilizada, a Caixa 2 tratada preventivamente, as bordas e bases protegidas contra novo desgaste, as frentes originais preservadas e acabamento externo preto discreto nas demais faces. As caixas deverão permanecer adequadas ao uso pessoal com receiver externo, sem qualquer alteração elétrica ou sonora.</w:t>
      </w:r>
    </w:p>
    <w:p>
      <w:pPr>
        <w:pStyle w:val="Heading1"/>
      </w:pPr>
      <w:r>
        <w:t>13. Prazo estimado</w:t>
      </w:r>
    </w:p>
    <w:p>
      <w:pPr>
        <w:spacing w:after="120"/>
        <w:jc w:val="both"/>
      </w:pPr>
      <w:r>
        <w:t>O prazo sugerido para execução é de 5 a 10 dias corridos, considerando tempo de colagem, secagem de massa, lixamento, seladora e pintura. Esse prazo pode variar conforme a disponibilidade de agenda do Fab Lab, a complexidade real da quina danificada e a necessidade de dividir a execução em encontros de orientação.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Diagnóstico e preparação: 1 encontro.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Reforços e colagens: 1 a 2 encontros.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Massa, lixamento e regularização: 1 a 2 encontros.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Seladora e pintura: 2 a 4 dias, incluindo secagem.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Finalização e fotos: 1 encontro.</w:t>
      </w:r>
    </w:p>
    <w:p>
      <w:pPr>
        <w:pStyle w:val="Heading1"/>
      </w:pPr>
      <w:r>
        <w:t>14. Perguntas para levar ao Fab Lab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Quais etapas podem ser realizadas na unidade: corte de enxertos, lixamento, colagem, acabamento ou apenas orientação?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É permitido levar caixas de som antigas para orientação de marcenaria, sem intervenção elétrica?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Há restrição para uso de tinta, seladora, cola ou massa de madeira no espaço?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O acabamento deve ser feito fora do Fab Lab por causa de cheiro, secagem ou ventilação?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Há ferramentas disponíveis para lixamento e prensagem ou será necessário levar materiais próprios?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A instalação de pés de borracha pode ser feita no espaço?</w:t>
      </w:r>
    </w:p>
    <w:p>
      <w:pPr>
        <w:spacing w:after="60"/>
        <w:ind w:left="374" w:hanging="202"/>
      </w:pPr>
      <w:r>
        <w:rPr>
          <w:b/>
        </w:rPr>
        <w:t xml:space="preserve">• </w:t>
      </w:r>
      <w:r>
        <w:t>A unidade recomenda algum tipo específico de madeira, cola ou massa para recompor a quina danificada?</w:t>
      </w:r>
    </w:p>
    <w:p>
      <w:pPr>
        <w:pStyle w:val="Heading1"/>
      </w:pPr>
      <w:r>
        <w:t>15. Referências públicas consultadas</w:t>
      </w:r>
    </w:p>
    <w:p>
      <w:pPr>
        <w:spacing w:after="120"/>
        <w:jc w:val="left"/>
      </w:pPr>
      <w:r>
        <w:t>Rede FAB LAB LIVRE SP - página institucional: https://www.fablablivresp.prefeitura.sp.gov.br/quem-somos</w:t>
      </w:r>
    </w:p>
    <w:p>
      <w:pPr>
        <w:spacing w:after="120"/>
        <w:jc w:val="left"/>
      </w:pPr>
      <w:r>
        <w:t>Rede FAB LAB LIVRE SP - orientação e agendamento de projetos: https://www.fablablivresp.prefeitura.sp.gov.br/como-agendar</w:t>
      </w:r>
    </w:p>
    <w:p>
      <w:r>
        <w:br w:type="page"/>
      </w:r>
    </w:p>
    <w:p>
      <w:pPr>
        <w:pStyle w:val="Heading1"/>
      </w:pPr>
      <w:r>
        <w:t>Anexo - Registro fotográfico de diagnóstico</w:t>
      </w:r>
    </w:p>
    <w:p>
      <w:pPr>
        <w:spacing w:after="120"/>
        <w:jc w:val="left"/>
      </w:pPr>
      <w:r>
        <w:t>As imagens abaixo registram o estado inicial das caixas e servem como referência para avaliação de escopo, intensidade dos reparos e comparação depois da reforma.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5040"/>
        <w:gridCol w:w="5040"/>
      </w:tblGrid>
      <w:tr>
        <w:tc>
          <w:tcPr>
            <w:tcW w:type="dxa" w:w="504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30480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aixa_1_frent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i/>
                <w:sz w:val="16"/>
              </w:rPr>
              <w:t>Caixa 1 - frente</w:t>
            </w:r>
          </w:p>
        </w:tc>
        <w:tc>
          <w:tcPr>
            <w:tcW w:type="dxa" w:w="504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30480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aixa_1_quina_traseira_danificada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i/>
                <w:sz w:val="16"/>
              </w:rPr>
              <w:t>Caixa 1 - quina traseira danificada</w:t>
            </w:r>
          </w:p>
        </w:tc>
      </w:tr>
    </w:tbl>
    <w:p/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5040"/>
        <w:gridCol w:w="5040"/>
      </w:tblGrid>
      <w:tr>
        <w:tc>
          <w:tcPr>
            <w:tcW w:type="dxa" w:w="504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30480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aixa_1_traseira_detalh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i/>
                <w:sz w:val="16"/>
              </w:rPr>
              <w:t>Caixa 1 - traseira/detalhe</w:t>
            </w:r>
          </w:p>
        </w:tc>
        <w:tc>
          <w:tcPr>
            <w:tcW w:type="dxa" w:w="504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304800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aixa_2_frent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i/>
                <w:sz w:val="16"/>
              </w:rPr>
              <w:t>Caixa 2 - frente</w:t>
            </w:r>
          </w:p>
        </w:tc>
      </w:tr>
    </w:tbl>
    <w:p/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5040"/>
        <w:gridCol w:w="5040"/>
      </w:tblGrid>
      <w:tr>
        <w:tc>
          <w:tcPr>
            <w:tcW w:type="dxa" w:w="504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304800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aixa_2_traseir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i/>
                <w:sz w:val="16"/>
              </w:rPr>
              <w:t>Caixa 2 - traseira</w:t>
            </w:r>
          </w:p>
        </w:tc>
        <w:tc>
          <w:tcPr>
            <w:tcW w:type="dxa" w:w="504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304800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aixa_2_lateral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i/>
                <w:sz w:val="16"/>
              </w:rPr>
              <w:t>Caixa 2 - lateral</w:t>
            </w:r>
          </w:p>
        </w:tc>
      </w:tr>
    </w:tbl>
    <w:p/>
    <w:sectPr w:rsidR="00FC693F" w:rsidRPr="0006063C" w:rsidSect="00034616">
      <w:footerReference w:type="default" r:id="rId15"/>
      <w:pgSz w:w="12240" w:h="15840"/>
      <w:pgMar w:top="979" w:right="1080" w:bottom="979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Arial" w:hAnsi="Arial"/>
        <w:sz w:val="16"/>
      </w:rPr>
      <w:t>Projeto para Fab Lab - Reforma de gabinetes Philips FB 300 | Caio Proença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 w:eastAsia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1E1E1E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1E1E1E"/>
      <w:sz w:val="25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1E1E1E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  <w:rPr>
      <w:rFonts w:ascii="Arial" w:hAnsi="Arial" w:eastAsia="Arial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b/>
      <w:color w:val="17365D" w:themeColor="text2" w:themeShade="BF"/>
      <w:spacing w:val="5"/>
      <w:kern w:val="28"/>
      <w:sz w:val="4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Arial" w:hAnsi="Arial" w:eastAsia="Arial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Arial" w:hAnsi="Arial" w:eastAsia="Arial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  <w:rPr>
      <w:rFonts w:ascii="Arial" w:hAnsi="Arial" w:eastAsia="Arial"/>
    </w:r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Arial" w:hAnsi="Arial" w:eastAsia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  <w:rPr>
      <w:rFonts w:ascii="Arial" w:hAnsi="Arial" w:eastAsia="Arial"/>
    </w:r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  <w:rPr>
      <w:rFonts w:ascii="Arial" w:hAnsi="Arial" w:eastAsia="Arial"/>
    </w:r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  <w:rPr>
      <w:rFonts w:ascii="Arial" w:hAnsi="Arial" w:eastAsia="Arial"/>
    </w:r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 w:eastAsia="Arial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  <w:rPr>
      <w:rFonts w:ascii="Arial" w:hAnsi="Arial" w:eastAsia="Arial"/>
    </w:r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  <w:rPr>
      <w:rFonts w:ascii="Arial" w:hAnsi="Arial" w:eastAsia="Arial"/>
    </w:r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Arial" w:hAnsi="Arial" w:eastAsia="Arial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  <w:rPr>
      <w:rFonts w:ascii="Arial" w:hAnsi="Arial" w:eastAsia="Arial"/>
    </w:r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  <w:rPr>
      <w:rFonts w:ascii="Arial" w:hAnsi="Arial" w:eastAsia="Arial"/>
    </w:r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  <w:rPr>
      <w:rFonts w:ascii="Arial" w:hAnsi="Arial" w:eastAsia="Arial"/>
    </w:r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  <w:rPr>
      <w:rFonts w:ascii="Arial" w:hAnsi="Arial" w:eastAsia="Arial"/>
    </w:r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  <w:rPr>
      <w:rFonts w:ascii="Arial" w:hAnsi="Arial" w:eastAsia="Arial"/>
    </w:r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hAnsi="Arial" w:eastAsia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Arial" w:hAnsi="Arial" w:eastAsia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eastAsia="Arial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>
      <w:rFonts w:ascii="Arial" w:hAnsi="Arial" w:eastAsia="Arial"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